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096" w:rsidRDefault="00BB7096" w:rsidP="00BB709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64D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DCC4C23" wp14:editId="5191DE10">
            <wp:simplePos x="0" y="0"/>
            <wp:positionH relativeFrom="column">
              <wp:posOffset>5562600</wp:posOffset>
            </wp:positionH>
            <wp:positionV relativeFrom="paragraph">
              <wp:posOffset>-690245</wp:posOffset>
            </wp:positionV>
            <wp:extent cx="907415" cy="904875"/>
            <wp:effectExtent l="0" t="0" r="6985" b="9525"/>
            <wp:wrapNone/>
            <wp:docPr id="1" name="Picture 1" descr="Description: Logo Scoala30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Logo Scoala30T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5543">
        <w:rPr>
          <w:rFonts w:ascii="Times New Roman" w:hAnsi="Times New Roman" w:cs="Times New Roman"/>
          <w:b/>
          <w:sz w:val="28"/>
          <w:szCs w:val="28"/>
        </w:rPr>
        <w:t>CAIET DE SARCINI</w:t>
      </w:r>
    </w:p>
    <w:p w:rsidR="0031404A" w:rsidRDefault="0031404A" w:rsidP="003140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1404A">
        <w:rPr>
          <w:rFonts w:ascii="Times New Roman" w:hAnsi="Times New Roman" w:cs="Times New Roman"/>
          <w:b/>
          <w:sz w:val="28"/>
          <w:szCs w:val="28"/>
        </w:rPr>
        <w:t>Achizitie</w:t>
      </w:r>
      <w:proofErr w:type="spellEnd"/>
      <w:r w:rsidRPr="00314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3841">
        <w:rPr>
          <w:rFonts w:ascii="Times New Roman" w:hAnsi="Times New Roman" w:cs="Times New Roman"/>
          <w:b/>
          <w:sz w:val="28"/>
          <w:szCs w:val="28"/>
        </w:rPr>
        <w:t xml:space="preserve">table </w:t>
      </w:r>
      <w:proofErr w:type="spellStart"/>
      <w:r w:rsidR="00BB3841">
        <w:rPr>
          <w:rFonts w:ascii="Times New Roman" w:hAnsi="Times New Roman" w:cs="Times New Roman"/>
          <w:b/>
          <w:sz w:val="28"/>
          <w:szCs w:val="28"/>
        </w:rPr>
        <w:t>interactivă</w:t>
      </w:r>
      <w:proofErr w:type="spellEnd"/>
      <w:r w:rsidR="00BB38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3841">
        <w:rPr>
          <w:rFonts w:ascii="Times New Roman" w:hAnsi="Times New Roman" w:cs="Times New Roman"/>
          <w:b/>
          <w:sz w:val="28"/>
          <w:szCs w:val="28"/>
        </w:rPr>
        <w:t>Mimio</w:t>
      </w:r>
      <w:proofErr w:type="spellEnd"/>
      <w:r w:rsidR="00BB3841">
        <w:rPr>
          <w:rFonts w:ascii="Times New Roman" w:hAnsi="Times New Roman" w:cs="Times New Roman"/>
          <w:b/>
          <w:sz w:val="28"/>
          <w:szCs w:val="28"/>
        </w:rPr>
        <w:t xml:space="preserve"> Touch Board 80 inch</w:t>
      </w:r>
    </w:p>
    <w:p w:rsidR="00BB3841" w:rsidRPr="0031404A" w:rsidRDefault="00BB3841" w:rsidP="0031404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CPV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32321200-1 –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Echipament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autovizual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( Rev.2)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respectiv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prezentul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document, face parte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contractului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constituie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ansamblul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cărora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elaborează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fiecare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ofertant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tehnico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financiară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contine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mod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obligatoriu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considerate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acest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sens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orice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prezentată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05543">
        <w:rPr>
          <w:rFonts w:ascii="Times New Roman" w:hAnsi="Times New Roman" w:cs="Times New Roman"/>
          <w:sz w:val="24"/>
          <w:szCs w:val="24"/>
        </w:rPr>
        <w:t xml:space="preserve">care se abate de la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prevederile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luată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considerare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numai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măsura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propunerea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presupune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asigurarea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unui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superior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caracteristici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inferioare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prevăzute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nu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satisfac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cerintele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avea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drept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consecintă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declararea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ofertei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fiind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neconformă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respinsă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B7096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indică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anumită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origine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sursă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productie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un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procedeu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special, o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marcă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fabrică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comerţ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un brevet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inventie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licentă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fabricatie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mentionate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identificarea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usurintă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tipului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NU au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favorizarea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eliminarea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operatori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economici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anumitor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Aceste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întotdeauna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considerate ca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mentiunea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echivalent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».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 w:rsidRPr="00705543">
        <w:rPr>
          <w:rFonts w:ascii="Times New Roman" w:hAnsi="Times New Roman" w:cs="Times New Roman"/>
          <w:b/>
          <w:sz w:val="24"/>
          <w:szCs w:val="24"/>
        </w:rPr>
        <w:t>INFORMAŢII GENERALE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1.1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Institutia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Achizitoare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543">
        <w:rPr>
          <w:rFonts w:ascii="Times New Roman" w:hAnsi="Times New Roman" w:cs="Times New Roman"/>
          <w:b/>
          <w:sz w:val="24"/>
          <w:szCs w:val="24"/>
        </w:rPr>
        <w:t>ȘCOALA GIMNAZIALĂ NR.30 TIMIȘOARA</w:t>
      </w:r>
    </w:p>
    <w:p w:rsid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>1.2 Date de contact:</w:t>
      </w:r>
    </w:p>
    <w:p w:rsidR="00BB7096" w:rsidRPr="00BB7096" w:rsidRDefault="00BB7096" w:rsidP="00BB709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7096">
        <w:rPr>
          <w:rFonts w:ascii="Times New Roman" w:hAnsi="Times New Roman" w:cs="Times New Roman"/>
          <w:b/>
          <w:sz w:val="24"/>
          <w:szCs w:val="24"/>
        </w:rPr>
        <w:t>ȘCOALA GIMNAZIALĂ NR.30 TIMIȘOARA</w:t>
      </w:r>
    </w:p>
    <w:p w:rsidR="00705543" w:rsidRPr="00BB7096" w:rsidRDefault="00705543" w:rsidP="00BB7096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7096">
        <w:rPr>
          <w:rFonts w:ascii="Times New Roman" w:hAnsi="Times New Roman" w:cs="Times New Roman"/>
          <w:b/>
          <w:sz w:val="24"/>
          <w:szCs w:val="24"/>
        </w:rPr>
        <w:t>Adresa</w:t>
      </w:r>
      <w:proofErr w:type="gramStart"/>
      <w:r w:rsidRPr="00BB7096">
        <w:rPr>
          <w:rFonts w:ascii="Times New Roman" w:hAnsi="Times New Roman" w:cs="Times New Roman"/>
          <w:b/>
          <w:sz w:val="24"/>
          <w:szCs w:val="24"/>
        </w:rPr>
        <w:t>:</w:t>
      </w:r>
      <w:r w:rsidRPr="00BB7096">
        <w:rPr>
          <w:rFonts w:ascii="Times New Roman" w:hAnsi="Times New Roman" w:cs="Times New Roman"/>
          <w:sz w:val="24"/>
          <w:szCs w:val="24"/>
        </w:rPr>
        <w:t>Timisoara</w:t>
      </w:r>
      <w:proofErr w:type="spellEnd"/>
      <w:proofErr w:type="gramEnd"/>
      <w:r w:rsidRPr="00BB7096">
        <w:rPr>
          <w:rFonts w:ascii="Times New Roman" w:hAnsi="Times New Roman" w:cs="Times New Roman"/>
          <w:sz w:val="24"/>
          <w:szCs w:val="24"/>
        </w:rPr>
        <w:t xml:space="preserve"> str. </w:t>
      </w:r>
      <w:proofErr w:type="spellStart"/>
      <w:r w:rsidRPr="00BB7096">
        <w:rPr>
          <w:rFonts w:ascii="Times New Roman" w:hAnsi="Times New Roman" w:cs="Times New Roman"/>
          <w:sz w:val="24"/>
          <w:szCs w:val="24"/>
        </w:rPr>
        <w:t>Astrilor</w:t>
      </w:r>
      <w:proofErr w:type="spellEnd"/>
      <w:r w:rsidRPr="00BB7096">
        <w:rPr>
          <w:rFonts w:ascii="Times New Roman" w:hAnsi="Times New Roman" w:cs="Times New Roman"/>
          <w:sz w:val="24"/>
          <w:szCs w:val="24"/>
        </w:rPr>
        <w:t xml:space="preserve"> nr. 13</w:t>
      </w:r>
      <w:r w:rsidRPr="00BB7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5543" w:rsidRPr="00BB7096" w:rsidRDefault="00BB7096" w:rsidP="00BB70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Cod </w:t>
      </w:r>
      <w:r w:rsidRPr="00BB7096">
        <w:rPr>
          <w:rFonts w:ascii="Times New Roman" w:hAnsi="Times New Roman" w:cs="Times New Roman"/>
          <w:b/>
          <w:sz w:val="24"/>
          <w:szCs w:val="24"/>
        </w:rPr>
        <w:t>p</w:t>
      </w:r>
      <w:r w:rsidR="00705543" w:rsidRPr="00BB7096">
        <w:rPr>
          <w:rFonts w:ascii="Times New Roman" w:hAnsi="Times New Roman" w:cs="Times New Roman"/>
          <w:b/>
          <w:sz w:val="24"/>
          <w:szCs w:val="24"/>
        </w:rPr>
        <w:t xml:space="preserve">ostal </w:t>
      </w:r>
      <w:r w:rsidR="00705543" w:rsidRPr="00BB7096">
        <w:rPr>
          <w:rFonts w:ascii="Times New Roman" w:hAnsi="Times New Roman" w:cs="Times New Roman"/>
          <w:sz w:val="24"/>
          <w:szCs w:val="24"/>
        </w:rPr>
        <w:t xml:space="preserve">300685 </w:t>
      </w:r>
    </w:p>
    <w:p w:rsidR="00705543" w:rsidRPr="00BB7096" w:rsidRDefault="00705543" w:rsidP="00BB7096">
      <w:pPr>
        <w:jc w:val="both"/>
        <w:rPr>
          <w:rFonts w:ascii="Times New Roman" w:hAnsi="Times New Roman" w:cs="Times New Roman"/>
          <w:sz w:val="24"/>
          <w:szCs w:val="24"/>
        </w:rPr>
      </w:pPr>
      <w:r w:rsidRPr="00BB7096">
        <w:rPr>
          <w:rFonts w:ascii="Times New Roman" w:hAnsi="Times New Roman" w:cs="Times New Roman"/>
          <w:b/>
          <w:sz w:val="24"/>
          <w:szCs w:val="24"/>
        </w:rPr>
        <w:t>Tel/</w:t>
      </w:r>
      <w:proofErr w:type="gramStart"/>
      <w:r w:rsidRPr="00BB7096">
        <w:rPr>
          <w:rFonts w:ascii="Times New Roman" w:hAnsi="Times New Roman" w:cs="Times New Roman"/>
          <w:b/>
          <w:sz w:val="24"/>
          <w:szCs w:val="24"/>
        </w:rPr>
        <w:t>fax</w:t>
      </w:r>
      <w:r w:rsidRPr="00BB70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7096">
        <w:rPr>
          <w:rFonts w:ascii="Times New Roman" w:hAnsi="Times New Roman" w:cs="Times New Roman"/>
          <w:sz w:val="24"/>
          <w:szCs w:val="24"/>
        </w:rPr>
        <w:t xml:space="preserve"> 0256462302  </w:t>
      </w:r>
    </w:p>
    <w:p w:rsidR="00705543" w:rsidRPr="00353F63" w:rsidRDefault="00705543" w:rsidP="00BB7096">
      <w:pPr>
        <w:jc w:val="both"/>
        <w:rPr>
          <w:rFonts w:ascii="Times New Roman" w:hAnsi="Times New Roman" w:cs="Times New Roman"/>
          <w:sz w:val="24"/>
          <w:szCs w:val="24"/>
        </w:rPr>
      </w:pPr>
      <w:r w:rsidRPr="00BB7096">
        <w:rPr>
          <w:rFonts w:ascii="Times New Roman" w:hAnsi="Times New Roman" w:cs="Times New Roman"/>
          <w:b/>
          <w:sz w:val="24"/>
          <w:szCs w:val="24"/>
        </w:rPr>
        <w:t xml:space="preserve">Cod </w:t>
      </w:r>
      <w:proofErr w:type="gramStart"/>
      <w:r w:rsidRPr="00BB7096">
        <w:rPr>
          <w:rFonts w:ascii="Times New Roman" w:hAnsi="Times New Roman" w:cs="Times New Roman"/>
          <w:b/>
          <w:sz w:val="24"/>
          <w:szCs w:val="24"/>
        </w:rPr>
        <w:t>fiscal</w:t>
      </w:r>
      <w:r w:rsidRPr="00BB709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BB7096">
        <w:rPr>
          <w:rFonts w:ascii="Times New Roman" w:hAnsi="Times New Roman" w:cs="Times New Roman"/>
          <w:sz w:val="24"/>
          <w:szCs w:val="24"/>
        </w:rPr>
        <w:t xml:space="preserve"> 29120919 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7096">
        <w:rPr>
          <w:rFonts w:ascii="Times New Roman" w:hAnsi="Times New Roman" w:cs="Times New Roman"/>
          <w:b/>
          <w:sz w:val="24"/>
          <w:szCs w:val="24"/>
        </w:rPr>
        <w:t>Tipul</w:t>
      </w:r>
      <w:proofErr w:type="spellEnd"/>
      <w:r w:rsidRPr="00BB709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B7096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</w:p>
    <w:p w:rsidR="00955B39" w:rsidRPr="0031404A" w:rsidRDefault="00705543" w:rsidP="00955B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55B39">
        <w:rPr>
          <w:rFonts w:ascii="Times New Roman" w:hAnsi="Times New Roman" w:cs="Times New Roman"/>
          <w:sz w:val="24"/>
          <w:szCs w:val="24"/>
        </w:rPr>
        <w:lastRenderedPageBreak/>
        <w:t xml:space="preserve"> 1.3 </w:t>
      </w:r>
      <w:proofErr w:type="spellStart"/>
      <w:r w:rsidR="00955B39">
        <w:rPr>
          <w:rFonts w:ascii="Times New Roman" w:hAnsi="Times New Roman" w:cs="Times New Roman"/>
          <w:sz w:val="24"/>
          <w:szCs w:val="24"/>
        </w:rPr>
        <w:t>Tabla</w:t>
      </w:r>
      <w:proofErr w:type="spellEnd"/>
      <w:r w:rsidR="00955B39" w:rsidRPr="0095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B39" w:rsidRPr="00955B39">
        <w:rPr>
          <w:rFonts w:ascii="Times New Roman" w:hAnsi="Times New Roman" w:cs="Times New Roman"/>
          <w:sz w:val="24"/>
          <w:szCs w:val="24"/>
        </w:rPr>
        <w:t>interactivă</w:t>
      </w:r>
      <w:proofErr w:type="spellEnd"/>
      <w:r w:rsidR="00955B39" w:rsidRPr="0095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B39" w:rsidRPr="00955B39">
        <w:rPr>
          <w:rFonts w:ascii="Times New Roman" w:hAnsi="Times New Roman" w:cs="Times New Roman"/>
          <w:sz w:val="24"/>
          <w:szCs w:val="24"/>
        </w:rPr>
        <w:t>Mimio</w:t>
      </w:r>
      <w:proofErr w:type="spellEnd"/>
      <w:r w:rsidR="00955B39" w:rsidRPr="00955B39">
        <w:rPr>
          <w:rFonts w:ascii="Times New Roman" w:hAnsi="Times New Roman" w:cs="Times New Roman"/>
          <w:sz w:val="24"/>
          <w:szCs w:val="24"/>
        </w:rPr>
        <w:t xml:space="preserve"> Touch Board 80 inch</w:t>
      </w:r>
    </w:p>
    <w:p w:rsidR="00705543" w:rsidRPr="00705543" w:rsidRDefault="00705543" w:rsidP="00BB7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1.4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Sursa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finantare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Fonduri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bugetare</w:t>
      </w:r>
      <w:proofErr w:type="spellEnd"/>
    </w:p>
    <w:p w:rsidR="00955B39" w:rsidRPr="00955B39" w:rsidRDefault="00705543" w:rsidP="00955B3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b/>
          <w:sz w:val="24"/>
          <w:szCs w:val="24"/>
        </w:rPr>
        <w:t xml:space="preserve"> II. OBIECTUL </w:t>
      </w:r>
      <w:proofErr w:type="gramStart"/>
      <w:r w:rsidRPr="00705543">
        <w:rPr>
          <w:rFonts w:ascii="Times New Roman" w:hAnsi="Times New Roman" w:cs="Times New Roman"/>
          <w:b/>
          <w:sz w:val="24"/>
          <w:szCs w:val="24"/>
        </w:rPr>
        <w:t>CONTRACTULUI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r w:rsidR="0031404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1404A" w:rsidRPr="003140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5B39" w:rsidRPr="00955B39">
        <w:rPr>
          <w:rFonts w:ascii="Times New Roman" w:hAnsi="Times New Roman" w:cs="Times New Roman"/>
          <w:sz w:val="24"/>
          <w:szCs w:val="24"/>
        </w:rPr>
        <w:t xml:space="preserve">CPV : 32321200-1 – </w:t>
      </w:r>
      <w:proofErr w:type="spellStart"/>
      <w:r w:rsidR="00955B39" w:rsidRPr="00955B39">
        <w:rPr>
          <w:rFonts w:ascii="Times New Roman" w:hAnsi="Times New Roman" w:cs="Times New Roman"/>
          <w:sz w:val="24"/>
          <w:szCs w:val="24"/>
        </w:rPr>
        <w:t>Echipament</w:t>
      </w:r>
      <w:proofErr w:type="spellEnd"/>
      <w:r w:rsidR="00955B39" w:rsidRPr="00955B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5B39" w:rsidRPr="00955B39">
        <w:rPr>
          <w:rFonts w:ascii="Times New Roman" w:hAnsi="Times New Roman" w:cs="Times New Roman"/>
          <w:sz w:val="24"/>
          <w:szCs w:val="24"/>
        </w:rPr>
        <w:t>autovizual</w:t>
      </w:r>
      <w:proofErr w:type="spellEnd"/>
      <w:r w:rsidR="00955B39" w:rsidRPr="00955B39">
        <w:rPr>
          <w:rFonts w:ascii="Times New Roman" w:hAnsi="Times New Roman" w:cs="Times New Roman"/>
          <w:sz w:val="24"/>
          <w:szCs w:val="24"/>
        </w:rPr>
        <w:t xml:space="preserve"> ( Rev.2)</w:t>
      </w:r>
    </w:p>
    <w:p w:rsidR="00955B39" w:rsidRDefault="00955B39" w:rsidP="00955B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Tabla</w:t>
      </w:r>
      <w:proofErr w:type="spellEnd"/>
      <w:r w:rsidR="00BB3841" w:rsidRPr="00BB3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841" w:rsidRPr="00BB3841">
        <w:rPr>
          <w:rFonts w:ascii="Times New Roman" w:hAnsi="Times New Roman" w:cs="Times New Roman"/>
          <w:b/>
          <w:sz w:val="24"/>
          <w:szCs w:val="24"/>
        </w:rPr>
        <w:t>interactivă</w:t>
      </w:r>
      <w:proofErr w:type="spellEnd"/>
      <w:r w:rsidR="00BB3841" w:rsidRPr="00BB38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B3841" w:rsidRPr="00BB3841">
        <w:rPr>
          <w:rFonts w:ascii="Times New Roman" w:hAnsi="Times New Roman" w:cs="Times New Roman"/>
          <w:b/>
          <w:sz w:val="24"/>
          <w:szCs w:val="24"/>
        </w:rPr>
        <w:t>Mimio</w:t>
      </w:r>
      <w:proofErr w:type="spellEnd"/>
      <w:r w:rsidR="00BB3841" w:rsidRPr="00BB3841">
        <w:rPr>
          <w:rFonts w:ascii="Times New Roman" w:hAnsi="Times New Roman" w:cs="Times New Roman"/>
          <w:b/>
          <w:sz w:val="24"/>
          <w:szCs w:val="24"/>
        </w:rPr>
        <w:t xml:space="preserve"> Touch Board 80 inch</w:t>
      </w:r>
    </w:p>
    <w:p w:rsidR="0031404A" w:rsidRPr="00955B39" w:rsidRDefault="00705543" w:rsidP="00955B3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05543">
        <w:rPr>
          <w:rFonts w:ascii="Times New Roman" w:hAnsi="Times New Roman" w:cs="Times New Roman"/>
          <w:b/>
          <w:sz w:val="24"/>
          <w:szCs w:val="24"/>
        </w:rPr>
        <w:t>III. CERINTE TEHNICE</w:t>
      </w: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obligatorii</w:t>
      </w:r>
      <w:proofErr w:type="spellEnd"/>
    </w:p>
    <w:p w:rsidR="00BB3841" w:rsidRDefault="00BB3841" w:rsidP="00F8087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Tablă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interactivă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Mimio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Touch Board 80 inch</w:t>
      </w:r>
    </w:p>
    <w:p w:rsidR="00955B39" w:rsidRPr="00E8449E" w:rsidRDefault="00955B39" w:rsidP="00955B39">
      <w:pPr>
        <w:spacing w:before="300" w:after="150" w:line="240" w:lineRule="auto"/>
        <w:jc w:val="both"/>
        <w:outlineLvl w:val="1"/>
        <w:rPr>
          <w:rFonts w:ascii="inherit" w:eastAsia="Times New Roman" w:hAnsi="inherit" w:cs="Times New Roman"/>
          <w:sz w:val="38"/>
          <w:szCs w:val="38"/>
          <w:lang w:eastAsia="en-GB"/>
        </w:rPr>
      </w:pPr>
      <w:proofErr w:type="spellStart"/>
      <w:r w:rsidRPr="00E8449E">
        <w:rPr>
          <w:rFonts w:ascii="inherit" w:eastAsia="Times New Roman" w:hAnsi="inherit" w:cs="Times New Roman"/>
          <w:sz w:val="38"/>
          <w:szCs w:val="38"/>
          <w:lang w:eastAsia="en-GB"/>
        </w:rPr>
        <w:t>Specificatii</w:t>
      </w:r>
      <w:proofErr w:type="spellEnd"/>
    </w:p>
    <w:p w:rsidR="00955B39" w:rsidRDefault="00955B39" w:rsidP="00955B3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</w:pPr>
      <w:r w:rsidRPr="00E844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n-GB"/>
        </w:rPr>
        <w:t>CARACTERISTICI GENERALE</w:t>
      </w:r>
    </w:p>
    <w:p w:rsidR="00E8449E" w:rsidRPr="00E8449E" w:rsidRDefault="00E8449E" w:rsidP="00E8449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Tehnologie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Infrarosu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cu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microcamere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Diagonala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80"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Suprafata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activa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170</w:t>
      </w:r>
      <w:proofErr w:type="gram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,6</w:t>
      </w:r>
      <w:proofErr w:type="gram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x 116,5 cm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Suprafata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proiectie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155,3 x 116,5 cm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Ratie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4:3</w:t>
      </w:r>
    </w:p>
    <w:p w:rsidR="00E8449E" w:rsidRPr="00E8449E" w:rsidRDefault="00E8449E" w:rsidP="00E8449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Rama: Aluminium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Suprafata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Otel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cu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suprafat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ceramica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Atingeri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simultane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6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Metoda input: Degete sau orice alt obiect, 2 stilouri pasive incluse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Suport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stilouri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Da, frontal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Port USB 2.0: 72.000x72.000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univoque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points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Memorie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flash: 305 points/sec.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Rezolutia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suprafetei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active: 125 points/sec.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Viteza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scanare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8 m/s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Viteza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urmarire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± 0,5 mm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Acuratete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USB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Interfata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A-B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Tip USB: 7.5 m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Cablu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USB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inclus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10 m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Consum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&lt; 0.5W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Sisteme operare: WinXP / Vista / 7 / 8 32/64bit / MacOs X / Linux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Temperatura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functionare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-15 - 50 C°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Umiditate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admisa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20~90%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Temperatura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depozitare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-40 - 50 C°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Umiditate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depozitare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10~95%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Dimensiuni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181,6x127,5x5,78 cm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Ambalaj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207x138x9 cm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Greutate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neta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20 Kg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Greutate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 cu tot cu </w:t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ambalaj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34 Kg</w:t>
      </w:r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</w:r>
      <w:proofErr w:type="spellStart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Certificari</w:t>
      </w:r>
      <w:proofErr w:type="spellEnd"/>
      <w:r w:rsidRPr="00E8449E">
        <w:rPr>
          <w:rFonts w:ascii="Times New Roman" w:eastAsia="Times New Roman" w:hAnsi="Times New Roman" w:cs="Times New Roman"/>
          <w:sz w:val="24"/>
          <w:szCs w:val="24"/>
          <w:lang w:eastAsia="en-GB"/>
        </w:rPr>
        <w:t>: CE – FCC – ROHS</w:t>
      </w:r>
    </w:p>
    <w:p w:rsidR="00E8449E" w:rsidRPr="00E8449E" w:rsidRDefault="00E8449E" w:rsidP="00E8449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E8449E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inline distT="0" distB="0" distL="0" distR="0" wp14:anchorId="5EF004E4" wp14:editId="7571AB8B">
                <wp:extent cx="304800" cy="304800"/>
                <wp:effectExtent l="0" t="0" r="0" b="0"/>
                <wp:docPr id="3" name="AutoShape 4" descr="mimio stu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3BE60B" id="AutoShape 4" o:spid="_x0000_s1026" alt="mimio studi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aevwIAAMwFAAAOAAAAZHJzL2Uyb0RvYy54bWysVNuO2yAQfa/Uf0C8e31ZcrG1zmobx1Wl&#10;bbvSth9ADI5RbXCBxNlW/fcOOMkmuy9VWx4QMHDmzMxhbm73XYt2XBuhZI7jqwgjLivFhNzk+OuX&#10;MphjZCyVjLZK8hw/cYNvF2/f3Ax9xhPVqJZxjQBEmmzoc9xY22dhaKqGd9RcqZ5LMNZKd9TCVm9C&#10;pukA6F0bJlE0DQelWa9VxY2B02I04oXHr2te2c91bbhFbY6Bm/Wz9vPazeHihmYbTftGVAca9C9Y&#10;dFRIcHqCKqilaKvFK6hOVFoZVdurSnWhqmtRcR8DRBNHL6J5bGjPfSyQHNOf0mT+H2z1afegkWA5&#10;vsZI0g5KdLe1yntGBCPGTQXp6kQnFBRyy4RyORt6k8HTx/5Bu6hNf6+qbwZJtWyo3PA700PmQQ+A&#10;eTzSWg0NpwzIxw4ivMBwGwNoaD18VAxYUGDhM7qvded8QK7Q3hfu6VQ4vreogsPriMwjKG8FpsPa&#10;eaDZ8XGvjX3PVYfcIsca2Hlwurs3drx6vOJ8SVWKtoVzmrXy4gAwxxNwDU+dzZHwpf6ZRulqvpqT&#10;gCTTVUCiogjuyiUJpmU8mxTXxXJZxL+c35hkjWCMS+fmKLuY/FlZDx9gFMxJeEa1gjk4R8nozXrZ&#10;arSjIPvSD59ysDxfCy9p+HxBLC9CihMSvUvSoJzOZwEpySRIZ9E8iOL0XTqNSEqK8jKkeyH5v4eE&#10;hhynk2Tiq3RG+kVskR+vY6NZJyw0llZ0OQZpwHCXaOYUuJLMry0V7bg+S4Wj/5wKKPex0F6vTqKj&#10;+teKPYFctQI5gfKgBcKiUfoHRgO0kxyb71uqOUbtBwmST2NCXP/xGzKZJbDR55b1uYXKCqBybDEa&#10;l0s79qxtr8WmAU+xT4xU7rPWwkvYfaGR1eFzQcvwkRzam+tJ53t/67kJL34D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5bc2nr8C&#10;AADM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</w:p>
    <w:p w:rsidR="00E8449E" w:rsidRPr="00955B39" w:rsidRDefault="00E8449E" w:rsidP="00E8449E">
      <w:pPr>
        <w:spacing w:after="15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en-GB"/>
        </w:rPr>
      </w:pPr>
    </w:p>
    <w:tbl>
      <w:tblPr>
        <w:tblW w:w="10654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0"/>
        <w:gridCol w:w="4654"/>
      </w:tblGrid>
      <w:tr w:rsidR="00955B39" w:rsidRPr="00955B39" w:rsidTr="00955B39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Interfata</w:t>
            </w:r>
            <w:proofErr w:type="spellEnd"/>
          </w:p>
        </w:tc>
        <w:tc>
          <w:tcPr>
            <w:tcW w:w="465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USB</w:t>
            </w:r>
          </w:p>
        </w:tc>
      </w:tr>
      <w:tr w:rsidR="00955B39" w:rsidRPr="00955B39" w:rsidTr="00955B39">
        <w:tc>
          <w:tcPr>
            <w:tcW w:w="6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Tehnologie</w:t>
            </w:r>
            <w:proofErr w:type="spellEnd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control</w:t>
            </w:r>
          </w:p>
        </w:tc>
        <w:tc>
          <w:tcPr>
            <w:tcW w:w="46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IR optical tracing </w:t>
            </w: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</w:t>
            </w:r>
            <w:proofErr w:type="spellEnd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microcamere</w:t>
            </w:r>
            <w:proofErr w:type="spellEnd"/>
          </w:p>
        </w:tc>
      </w:tr>
      <w:tr w:rsidR="00955B39" w:rsidRPr="00955B39" w:rsidTr="00955B39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Dimensiuni</w:t>
            </w:r>
            <w:proofErr w:type="spellEnd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suprafata</w:t>
            </w:r>
            <w:proofErr w:type="spellEnd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(mm)</w:t>
            </w:r>
          </w:p>
        </w:tc>
        <w:tc>
          <w:tcPr>
            <w:tcW w:w="465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181,6x127,5x5,78 cm</w:t>
            </w:r>
          </w:p>
        </w:tc>
      </w:tr>
      <w:tr w:rsidR="00955B39" w:rsidRPr="00955B39" w:rsidTr="00955B39">
        <w:tc>
          <w:tcPr>
            <w:tcW w:w="6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Acuratete</w:t>
            </w:r>
            <w:proofErr w:type="spellEnd"/>
          </w:p>
        </w:tc>
        <w:tc>
          <w:tcPr>
            <w:tcW w:w="46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0,5 mm</w:t>
            </w:r>
          </w:p>
        </w:tc>
      </w:tr>
      <w:tr w:rsidR="00955B39" w:rsidRPr="00955B39" w:rsidTr="00955B39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Rezolutie</w:t>
            </w:r>
            <w:proofErr w:type="spellEnd"/>
          </w:p>
        </w:tc>
        <w:tc>
          <w:tcPr>
            <w:tcW w:w="465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72000x72000</w:t>
            </w:r>
          </w:p>
        </w:tc>
      </w:tr>
      <w:tr w:rsidR="00955B39" w:rsidRPr="00955B39" w:rsidTr="00955B39">
        <w:tc>
          <w:tcPr>
            <w:tcW w:w="6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Viteza</w:t>
            </w:r>
            <w:proofErr w:type="spellEnd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de </w:t>
            </w: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raspuns</w:t>
            </w:r>
            <w:proofErr w:type="spellEnd"/>
          </w:p>
        </w:tc>
        <w:tc>
          <w:tcPr>
            <w:tcW w:w="46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 m/s</w:t>
            </w:r>
          </w:p>
        </w:tc>
      </w:tr>
      <w:tr w:rsidR="00955B39" w:rsidRPr="00955B39" w:rsidTr="00955B39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Constructie</w:t>
            </w:r>
            <w:proofErr w:type="spellEnd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/ </w:t>
            </w: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Suprafata</w:t>
            </w:r>
            <w:proofErr w:type="spellEnd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tabla</w:t>
            </w:r>
            <w:proofErr w:type="spellEnd"/>
          </w:p>
        </w:tc>
        <w:tc>
          <w:tcPr>
            <w:tcW w:w="465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Ceramic-steel, anti-glare</w:t>
            </w:r>
          </w:p>
        </w:tc>
      </w:tr>
      <w:tr w:rsidR="00955B39" w:rsidRPr="00955B39" w:rsidTr="00955B39">
        <w:tc>
          <w:tcPr>
            <w:tcW w:w="6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Dimensiuni</w:t>
            </w:r>
            <w:proofErr w:type="spellEnd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(mm)</w:t>
            </w:r>
          </w:p>
        </w:tc>
        <w:tc>
          <w:tcPr>
            <w:tcW w:w="46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170,6x116,5 cm</w:t>
            </w:r>
          </w:p>
        </w:tc>
      </w:tr>
      <w:tr w:rsidR="00955B39" w:rsidRPr="00955B39" w:rsidTr="00955B39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Greutate</w:t>
            </w:r>
            <w:proofErr w:type="spellEnd"/>
          </w:p>
        </w:tc>
        <w:tc>
          <w:tcPr>
            <w:tcW w:w="465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 kg</w:t>
            </w:r>
          </w:p>
        </w:tc>
      </w:tr>
      <w:tr w:rsidR="00955B39" w:rsidRPr="00955B39" w:rsidTr="00955B39">
        <w:tc>
          <w:tcPr>
            <w:tcW w:w="6000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Temperatura</w:t>
            </w:r>
            <w:proofErr w:type="spellEnd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functionare</w:t>
            </w:r>
            <w:proofErr w:type="spellEnd"/>
          </w:p>
        </w:tc>
        <w:tc>
          <w:tcPr>
            <w:tcW w:w="4654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-15°C ~ 50°C</w:t>
            </w:r>
          </w:p>
        </w:tc>
      </w:tr>
      <w:tr w:rsidR="00955B39" w:rsidRPr="00955B39" w:rsidTr="00955B39">
        <w:tc>
          <w:tcPr>
            <w:tcW w:w="6000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Umiditate</w:t>
            </w:r>
            <w:proofErr w:type="spellEnd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functionare</w:t>
            </w:r>
            <w:proofErr w:type="spellEnd"/>
          </w:p>
        </w:tc>
        <w:tc>
          <w:tcPr>
            <w:tcW w:w="4654" w:type="dxa"/>
            <w:shd w:val="clear" w:color="auto" w:fill="EFF9FE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8449E" w:rsidRPr="00955B39" w:rsidRDefault="00E8449E" w:rsidP="00E8449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55B39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20 - 90 %</w:t>
            </w:r>
          </w:p>
        </w:tc>
      </w:tr>
    </w:tbl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Dacă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nu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conform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autoritatea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contractantă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poate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refuze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trebui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înlocuiască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satisface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cerinţele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specificaţiilor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contract,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fără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percepe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un cost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suplimentar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Intreaga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facturată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beneficiarului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La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echipamentele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însoţite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conformitate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documentatia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carnete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service,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verbal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functiune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etc.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recepţionate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persoanele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desemnate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către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cadrul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recepţiei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cantitative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achizitorul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reprezentanţii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de </w:t>
      </w:r>
      <w:proofErr w:type="gramStart"/>
      <w:r w:rsidRPr="00705543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inspecta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testa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conformitatea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specificaţiile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documentaţia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atribuire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cantitativă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efectuată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livrării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denumirii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comerciale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cantităţii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lastRenderedPageBreak/>
        <w:t>constă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inspecţia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testarea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materializează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printr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-un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-verbal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punere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functiune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considera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incheiata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momentul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care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indeplinite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prevederilor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clauzelor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receptie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nivel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calitativ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performanta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ofertat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semnat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stampilat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verbal.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Plata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efectiv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livrate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realize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baza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procesului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verbal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asumat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ambele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parti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factura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evidentierea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tuturor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informatiilor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definite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legislatia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fiscala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</w:t>
      </w:r>
    </w:p>
    <w:p w:rsidR="00705543" w:rsidRPr="00705543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Perioada</w:t>
      </w:r>
      <w:proofErr w:type="spellEnd"/>
      <w:r w:rsidRPr="00705543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garantie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de 3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caz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conform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Produsele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defecte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termenul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beneficia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acelaşi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termen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curge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la data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celui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defect.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Furnizorul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sigure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permanente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înlocuirea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defecte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. Service-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suportul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garanţie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fi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efectuat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catre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personal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abilitat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certificat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actioneze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asupra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echipamentelor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nu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pierde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garantia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acordata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6FF4" w:rsidRDefault="00705543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Propunerea</w:t>
      </w:r>
      <w:proofErr w:type="spellEnd"/>
      <w:r w:rsidRPr="0070554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b/>
          <w:sz w:val="24"/>
          <w:szCs w:val="24"/>
        </w:rPr>
        <w:t>tehnică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proofErr w:type="gramStart"/>
      <w:r w:rsidRPr="00705543"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astfel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încât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asigure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posibilitatea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verificării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corespondentei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propunerii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cu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specificatiile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prevazute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Caracteristicile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tehnice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impuse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caietul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sarcini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minimale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05543">
        <w:rPr>
          <w:rFonts w:ascii="Times New Roman" w:hAnsi="Times New Roman" w:cs="Times New Roman"/>
          <w:sz w:val="24"/>
          <w:szCs w:val="24"/>
        </w:rPr>
        <w:t>obligatorii</w:t>
      </w:r>
      <w:proofErr w:type="spellEnd"/>
      <w:r w:rsidRPr="0070554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2AB6" w:rsidRDefault="002B2AB6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AB6" w:rsidRDefault="002B2AB6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B2AB6" w:rsidRDefault="002B2AB6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Administrator,</w:t>
      </w:r>
    </w:p>
    <w:p w:rsidR="002B2AB6" w:rsidRPr="00705543" w:rsidRDefault="002B2AB6" w:rsidP="00BB709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Iliescu </w:t>
      </w:r>
      <w:proofErr w:type="spellStart"/>
      <w:r>
        <w:rPr>
          <w:rFonts w:ascii="Times New Roman" w:hAnsi="Times New Roman" w:cs="Times New Roman"/>
          <w:sz w:val="24"/>
          <w:szCs w:val="24"/>
        </w:rPr>
        <w:t>Mihaela</w:t>
      </w:r>
      <w:proofErr w:type="spellEnd"/>
    </w:p>
    <w:sectPr w:rsidR="002B2AB6" w:rsidRPr="00705543" w:rsidSect="00955B39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6726F8"/>
    <w:multiLevelType w:val="multilevel"/>
    <w:tmpl w:val="3DE28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43"/>
    <w:rsid w:val="001361C6"/>
    <w:rsid w:val="002B2AB6"/>
    <w:rsid w:val="0031404A"/>
    <w:rsid w:val="00353F63"/>
    <w:rsid w:val="00705543"/>
    <w:rsid w:val="00955B39"/>
    <w:rsid w:val="00B46FF4"/>
    <w:rsid w:val="00BB3841"/>
    <w:rsid w:val="00BB7096"/>
    <w:rsid w:val="00E8449E"/>
    <w:rsid w:val="00F8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44F23F-8952-4157-94C4-C559F941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itemtiny">
    <w:name w:val="listitemtiny"/>
    <w:basedOn w:val="DefaultParagraphFont"/>
    <w:rsid w:val="0031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3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96811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06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19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2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36303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8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068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02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9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52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4947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79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36027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7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2018-05-02T11:06:00Z</dcterms:created>
  <dcterms:modified xsi:type="dcterms:W3CDTF">2018-05-12T11:41:00Z</dcterms:modified>
</cp:coreProperties>
</file>