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41" w:rsidRDefault="00471B41" w:rsidP="00471B41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-690245</wp:posOffset>
            </wp:positionV>
            <wp:extent cx="907415" cy="904875"/>
            <wp:effectExtent l="0" t="0" r="6985" b="9525"/>
            <wp:wrapNone/>
            <wp:docPr id="1" name="Picture 1" descr="Description: Logo Scoala30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Scoala30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CAIET DE SARCINI</w:t>
      </w:r>
    </w:p>
    <w:p w:rsidR="00D41BDA" w:rsidRDefault="00D41BDA" w:rsidP="00471B41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471B41" w:rsidRDefault="00471B41" w:rsidP="00471B4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Achizitie</w:t>
      </w:r>
      <w:proofErr w:type="spellEnd"/>
      <w:r w:rsidR="00D41BDA">
        <w:rPr>
          <w:b/>
          <w:sz w:val="28"/>
          <w:szCs w:val="28"/>
        </w:rPr>
        <w:t>: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91CD7">
        <w:rPr>
          <w:b/>
          <w:sz w:val="28"/>
          <w:szCs w:val="28"/>
        </w:rPr>
        <w:t>FREZĂ ZĂPADĂ</w:t>
      </w:r>
    </w:p>
    <w:p w:rsidR="00027534" w:rsidRPr="00391CD7" w:rsidRDefault="00391CD7" w:rsidP="00391CD7">
      <w:pPr>
        <w:shd w:val="clear" w:color="auto" w:fill="FFFFFF"/>
        <w:outlineLvl w:val="2"/>
        <w:rPr>
          <w:b/>
          <w:lang w:val="en-GB" w:eastAsia="en-GB"/>
        </w:rPr>
      </w:pPr>
      <w:r>
        <w:rPr>
          <w:b/>
          <w:lang w:val="en-GB" w:eastAsia="en-GB"/>
        </w:rPr>
        <w:t xml:space="preserve">                           </w:t>
      </w:r>
      <w:hyperlink r:id="rId6" w:history="1">
        <w:r w:rsidRPr="00391CD7">
          <w:rPr>
            <w:b/>
            <w:lang w:val="en-GB" w:eastAsia="en-GB"/>
          </w:rPr>
          <w:t xml:space="preserve">Cod CPV 43313100-1 </w:t>
        </w:r>
        <w:proofErr w:type="spellStart"/>
        <w:r w:rsidRPr="00391CD7">
          <w:rPr>
            <w:b/>
            <w:lang w:val="en-GB" w:eastAsia="en-GB"/>
          </w:rPr>
          <w:t>Pluguri</w:t>
        </w:r>
        <w:proofErr w:type="spellEnd"/>
        <w:r w:rsidRPr="00391CD7">
          <w:rPr>
            <w:b/>
            <w:lang w:val="en-GB" w:eastAsia="en-GB"/>
          </w:rPr>
          <w:t xml:space="preserve"> </w:t>
        </w:r>
        <w:proofErr w:type="spellStart"/>
        <w:r w:rsidRPr="00391CD7">
          <w:rPr>
            <w:b/>
            <w:lang w:val="en-GB" w:eastAsia="en-GB"/>
          </w:rPr>
          <w:t>pentru</w:t>
        </w:r>
        <w:proofErr w:type="spellEnd"/>
        <w:r w:rsidRPr="00391CD7">
          <w:rPr>
            <w:b/>
            <w:lang w:val="en-GB" w:eastAsia="en-GB"/>
          </w:rPr>
          <w:t xml:space="preserve"> </w:t>
        </w:r>
        <w:proofErr w:type="spellStart"/>
        <w:r w:rsidRPr="00391CD7">
          <w:rPr>
            <w:b/>
            <w:lang w:val="en-GB" w:eastAsia="en-GB"/>
          </w:rPr>
          <w:t>zapada</w:t>
        </w:r>
        <w:proofErr w:type="spellEnd"/>
        <w:r w:rsidRPr="00391CD7">
          <w:rPr>
            <w:b/>
            <w:lang w:val="en-GB" w:eastAsia="en-GB"/>
          </w:rPr>
          <w:t> </w:t>
        </w:r>
      </w:hyperlink>
      <w:r w:rsidR="00027534" w:rsidRPr="00391CD7">
        <w:rPr>
          <w:b/>
          <w:kern w:val="36"/>
          <w:lang w:val="en-GB" w:eastAsia="en-GB"/>
        </w:rPr>
        <w:t>(Rev.2)</w:t>
      </w:r>
    </w:p>
    <w:p w:rsidR="00471B41" w:rsidRDefault="00471B41" w:rsidP="00471B41">
      <w:pPr>
        <w:spacing w:line="360" w:lineRule="auto"/>
        <w:jc w:val="center"/>
        <w:rPr>
          <w:b/>
          <w:sz w:val="28"/>
          <w:szCs w:val="28"/>
        </w:rPr>
      </w:pP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document,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ansamblul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se </w:t>
      </w:r>
      <w:proofErr w:type="spellStart"/>
      <w:r>
        <w:t>elaborează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,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 </w:t>
      </w:r>
      <w:proofErr w:type="spellStart"/>
      <w:r>
        <w:t>financiară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,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Cerintele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considerate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,      care se abate de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 superior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.</w:t>
      </w:r>
    </w:p>
    <w:p w:rsidR="00471B41" w:rsidRDefault="00471B41" w:rsidP="00471B41">
      <w:pPr>
        <w:spacing w:line="360" w:lineRule="auto"/>
        <w:jc w:val="both"/>
      </w:pPr>
      <w:r>
        <w:t xml:space="preserve"> </w:t>
      </w:r>
      <w:r>
        <w:tab/>
      </w:r>
      <w:proofErr w:type="spellStart"/>
      <w:r>
        <w:t>Ofertarea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cu </w:t>
      </w:r>
      <w:proofErr w:type="spellStart"/>
      <w:r>
        <w:t>caracteristici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inferioare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nu </w:t>
      </w:r>
      <w:proofErr w:type="spellStart"/>
      <w:r>
        <w:t>satisfac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consecintă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neconformă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respinsă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Specificatiile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care </w:t>
      </w:r>
      <w:proofErr w:type="spellStart"/>
      <w:r>
        <w:t>indică</w:t>
      </w:r>
      <w:proofErr w:type="spellEnd"/>
      <w:r>
        <w:t xml:space="preserve"> 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origine</w:t>
      </w:r>
      <w:proofErr w:type="spellEnd"/>
      <w:r>
        <w:t xml:space="preserve">, </w:t>
      </w:r>
      <w:proofErr w:type="spellStart"/>
      <w:r>
        <w:t>sursă</w:t>
      </w:r>
      <w:proofErr w:type="spellEnd"/>
      <w:r>
        <w:t xml:space="preserve">, </w:t>
      </w:r>
      <w:proofErr w:type="spellStart"/>
      <w:r>
        <w:t>productie</w:t>
      </w:r>
      <w:proofErr w:type="spellEnd"/>
      <w:r>
        <w:t xml:space="preserve">, un </w:t>
      </w:r>
      <w:proofErr w:type="spellStart"/>
      <w:r>
        <w:t>procedeu</w:t>
      </w:r>
      <w:proofErr w:type="spellEnd"/>
      <w:r>
        <w:t xml:space="preserve"> special, o </w:t>
      </w:r>
      <w:proofErr w:type="spellStart"/>
      <w:r>
        <w:t>marcă</w:t>
      </w:r>
      <w:proofErr w:type="spellEnd"/>
      <w:r>
        <w:t xml:space="preserve"> de </w:t>
      </w:r>
      <w:proofErr w:type="spellStart"/>
      <w:r>
        <w:t>fabrică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comerţ</w:t>
      </w:r>
      <w:proofErr w:type="spellEnd"/>
      <w:r>
        <w:t xml:space="preserve">, un brevet de </w:t>
      </w:r>
      <w:proofErr w:type="spellStart"/>
      <w:r>
        <w:t>inventie</w:t>
      </w:r>
      <w:proofErr w:type="spellEnd"/>
      <w:r>
        <w:t xml:space="preserve">, o </w:t>
      </w:r>
      <w:proofErr w:type="spellStart"/>
      <w:r>
        <w:t>licentă</w:t>
      </w:r>
      <w:proofErr w:type="spellEnd"/>
      <w:r>
        <w:t xml:space="preserve"> de </w:t>
      </w:r>
      <w:proofErr w:type="spellStart"/>
      <w:r>
        <w:t>fabricatie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cu </w:t>
      </w:r>
      <w:proofErr w:type="spellStart"/>
      <w:r>
        <w:t>usurintă</w:t>
      </w:r>
      <w:proofErr w:type="spellEnd"/>
      <w:r>
        <w:t xml:space="preserve"> a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au ca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favorizarea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întotdeauna</w:t>
      </w:r>
      <w:proofErr w:type="spellEnd"/>
      <w:r>
        <w:t xml:space="preserve"> considerate ca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mentiunea</w:t>
      </w:r>
      <w:proofErr w:type="spellEnd"/>
      <w:r>
        <w:t xml:space="preserve"> «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>».</w:t>
      </w:r>
    </w:p>
    <w:p w:rsidR="00471B41" w:rsidRDefault="00471B41" w:rsidP="00471B41">
      <w:pPr>
        <w:spacing w:line="360" w:lineRule="auto"/>
        <w:jc w:val="both"/>
      </w:pPr>
      <w:r>
        <w:t xml:space="preserve"> </w:t>
      </w:r>
      <w:r>
        <w:rPr>
          <w:b/>
        </w:rPr>
        <w:t>INFORMAŢII GENERALE</w:t>
      </w:r>
      <w:r>
        <w:t xml:space="preserve"> </w:t>
      </w:r>
    </w:p>
    <w:p w:rsidR="00471B41" w:rsidRDefault="00471B41" w:rsidP="00471B41">
      <w:pPr>
        <w:spacing w:line="360" w:lineRule="auto"/>
        <w:jc w:val="both"/>
      </w:pPr>
      <w:r>
        <w:t xml:space="preserve">1.1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Achizitoare</w:t>
      </w:r>
      <w:proofErr w:type="spellEnd"/>
      <w:r>
        <w:t xml:space="preserve"> </w:t>
      </w:r>
    </w:p>
    <w:p w:rsidR="00471B41" w:rsidRDefault="00471B41" w:rsidP="00471B41">
      <w:pPr>
        <w:spacing w:line="360" w:lineRule="auto"/>
        <w:jc w:val="both"/>
        <w:rPr>
          <w:b/>
        </w:rPr>
      </w:pPr>
      <w:r>
        <w:rPr>
          <w:b/>
        </w:rPr>
        <w:t>ȘCOALA GIMNAZIALĂ NR.30 TIMIȘOARA</w:t>
      </w:r>
    </w:p>
    <w:p w:rsidR="00471B41" w:rsidRDefault="00471B41" w:rsidP="00471B41">
      <w:pPr>
        <w:spacing w:line="360" w:lineRule="auto"/>
        <w:jc w:val="both"/>
      </w:pPr>
      <w:r>
        <w:t>1.2 Date de contact:</w:t>
      </w:r>
    </w:p>
    <w:p w:rsidR="00471B41" w:rsidRDefault="00471B41" w:rsidP="00471B41">
      <w:pPr>
        <w:spacing w:line="360" w:lineRule="auto"/>
        <w:jc w:val="both"/>
        <w:rPr>
          <w:b/>
        </w:rPr>
      </w:pPr>
      <w:r>
        <w:rPr>
          <w:b/>
        </w:rPr>
        <w:t>ȘCOALA GIMNAZIALĂ NR.30 TIMIȘOARA</w:t>
      </w:r>
    </w:p>
    <w:p w:rsidR="00471B41" w:rsidRDefault="00471B41" w:rsidP="00471B41">
      <w:pPr>
        <w:jc w:val="both"/>
        <w:rPr>
          <w:b/>
        </w:rPr>
      </w:pPr>
      <w:proofErr w:type="spellStart"/>
      <w:r>
        <w:rPr>
          <w:b/>
        </w:rPr>
        <w:t>Adresa</w:t>
      </w:r>
      <w:proofErr w:type="gramStart"/>
      <w:r>
        <w:rPr>
          <w:b/>
        </w:rPr>
        <w:t>:</w:t>
      </w:r>
      <w:r>
        <w:t>Timisoara</w:t>
      </w:r>
      <w:proofErr w:type="spellEnd"/>
      <w:proofErr w:type="gramEnd"/>
      <w:r>
        <w:t xml:space="preserve"> str. </w:t>
      </w:r>
      <w:proofErr w:type="spellStart"/>
      <w:r>
        <w:t>Astrilor</w:t>
      </w:r>
      <w:proofErr w:type="spellEnd"/>
      <w:r>
        <w:t xml:space="preserve"> nr. 13</w:t>
      </w:r>
      <w:r>
        <w:rPr>
          <w:b/>
        </w:rPr>
        <w:t xml:space="preserve"> </w:t>
      </w:r>
    </w:p>
    <w:p w:rsidR="00471B41" w:rsidRDefault="00471B41" w:rsidP="00471B41">
      <w:pPr>
        <w:jc w:val="both"/>
      </w:pPr>
      <w:r>
        <w:rPr>
          <w:b/>
        </w:rPr>
        <w:t xml:space="preserve">Cod postal </w:t>
      </w:r>
      <w:r>
        <w:t xml:space="preserve">300685 </w:t>
      </w:r>
    </w:p>
    <w:p w:rsidR="00471B41" w:rsidRDefault="00471B41" w:rsidP="00471B41">
      <w:pPr>
        <w:jc w:val="both"/>
      </w:pPr>
      <w:r>
        <w:rPr>
          <w:b/>
        </w:rPr>
        <w:t>Tel/</w:t>
      </w:r>
      <w:proofErr w:type="gramStart"/>
      <w:r>
        <w:rPr>
          <w:b/>
        </w:rPr>
        <w:t>fax</w:t>
      </w:r>
      <w:r>
        <w:t xml:space="preserve"> :</w:t>
      </w:r>
      <w:proofErr w:type="gramEnd"/>
      <w:r>
        <w:t xml:space="preserve"> 0256462302  </w:t>
      </w:r>
    </w:p>
    <w:p w:rsidR="00471B41" w:rsidRDefault="00471B41" w:rsidP="00471B41">
      <w:pPr>
        <w:jc w:val="both"/>
      </w:pPr>
      <w:r>
        <w:rPr>
          <w:b/>
        </w:rPr>
        <w:t xml:space="preserve">Cod </w:t>
      </w:r>
      <w:proofErr w:type="gramStart"/>
      <w:r>
        <w:rPr>
          <w:b/>
        </w:rPr>
        <w:t>fiscal</w:t>
      </w:r>
      <w:r>
        <w:t xml:space="preserve"> :</w:t>
      </w:r>
      <w:proofErr w:type="gramEnd"/>
      <w:r>
        <w:t xml:space="preserve"> 29120919 </w:t>
      </w:r>
    </w:p>
    <w:p w:rsidR="00471B41" w:rsidRDefault="00471B41" w:rsidP="00471B41">
      <w:pPr>
        <w:spacing w:line="360" w:lineRule="auto"/>
        <w:jc w:val="both"/>
      </w:pPr>
      <w:proofErr w:type="spellStart"/>
      <w:r>
        <w:rPr>
          <w:b/>
        </w:rPr>
        <w:t>Tipul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t xml:space="preserve">: </w:t>
      </w:r>
      <w:proofErr w:type="spellStart"/>
      <w:r>
        <w:t>furnizare</w:t>
      </w:r>
      <w:proofErr w:type="spellEnd"/>
      <w:r>
        <w:t xml:space="preserve"> de </w:t>
      </w:r>
      <w:proofErr w:type="spellStart"/>
      <w:r>
        <w:t>produse</w:t>
      </w:r>
      <w:proofErr w:type="spellEnd"/>
    </w:p>
    <w:p w:rsidR="00391CD7" w:rsidRPr="00391CD7" w:rsidRDefault="00471B41" w:rsidP="00391CD7">
      <w:pPr>
        <w:spacing w:line="360" w:lineRule="auto"/>
        <w:rPr>
          <w:b/>
          <w:sz w:val="28"/>
          <w:szCs w:val="28"/>
        </w:rPr>
      </w:pPr>
      <w:r>
        <w:t xml:space="preserve"> </w:t>
      </w:r>
      <w:r w:rsidRPr="003D421A">
        <w:t xml:space="preserve">1.3 </w:t>
      </w:r>
      <w:proofErr w:type="spellStart"/>
      <w:r w:rsidR="003D421A" w:rsidRPr="003D421A">
        <w:rPr>
          <w:b/>
        </w:rPr>
        <w:t>Achizitie</w:t>
      </w:r>
      <w:proofErr w:type="spellEnd"/>
      <w:r w:rsidR="003D421A" w:rsidRPr="003D421A">
        <w:rPr>
          <w:b/>
        </w:rPr>
        <w:t xml:space="preserve"> </w:t>
      </w:r>
      <w:r w:rsidR="00391CD7" w:rsidRPr="00391CD7">
        <w:rPr>
          <w:b/>
        </w:rPr>
        <w:t>FREZĂ ZĂPADĂ</w:t>
      </w:r>
      <w:r w:rsidR="00391CD7">
        <w:rPr>
          <w:b/>
          <w:lang w:val="en-GB" w:eastAsia="en-GB"/>
        </w:rPr>
        <w:t xml:space="preserve"> </w:t>
      </w:r>
      <w:hyperlink r:id="rId7" w:history="1">
        <w:r w:rsidR="00391CD7" w:rsidRPr="00391CD7">
          <w:rPr>
            <w:b/>
            <w:lang w:val="en-GB" w:eastAsia="en-GB"/>
          </w:rPr>
          <w:t xml:space="preserve">Cod CPV 43313100-1 </w:t>
        </w:r>
        <w:proofErr w:type="spellStart"/>
        <w:r w:rsidR="00391CD7" w:rsidRPr="00391CD7">
          <w:rPr>
            <w:b/>
            <w:lang w:val="en-GB" w:eastAsia="en-GB"/>
          </w:rPr>
          <w:t>Pluguri</w:t>
        </w:r>
        <w:proofErr w:type="spellEnd"/>
        <w:r w:rsidR="00391CD7" w:rsidRPr="00391CD7">
          <w:rPr>
            <w:b/>
            <w:lang w:val="en-GB" w:eastAsia="en-GB"/>
          </w:rPr>
          <w:t xml:space="preserve"> </w:t>
        </w:r>
        <w:proofErr w:type="spellStart"/>
        <w:r w:rsidR="00391CD7" w:rsidRPr="00391CD7">
          <w:rPr>
            <w:b/>
            <w:lang w:val="en-GB" w:eastAsia="en-GB"/>
          </w:rPr>
          <w:t>pentru</w:t>
        </w:r>
        <w:proofErr w:type="spellEnd"/>
        <w:r w:rsidR="00391CD7" w:rsidRPr="00391CD7">
          <w:rPr>
            <w:b/>
            <w:lang w:val="en-GB" w:eastAsia="en-GB"/>
          </w:rPr>
          <w:t xml:space="preserve"> </w:t>
        </w:r>
        <w:proofErr w:type="spellStart"/>
        <w:r w:rsidR="00391CD7" w:rsidRPr="00391CD7">
          <w:rPr>
            <w:b/>
            <w:lang w:val="en-GB" w:eastAsia="en-GB"/>
          </w:rPr>
          <w:t>zapada</w:t>
        </w:r>
        <w:proofErr w:type="spellEnd"/>
        <w:r w:rsidR="00391CD7" w:rsidRPr="00391CD7">
          <w:rPr>
            <w:b/>
            <w:lang w:val="en-GB" w:eastAsia="en-GB"/>
          </w:rPr>
          <w:t> </w:t>
        </w:r>
      </w:hyperlink>
      <w:r w:rsidR="00391CD7" w:rsidRPr="00391CD7">
        <w:rPr>
          <w:b/>
          <w:kern w:val="36"/>
          <w:lang w:val="en-GB" w:eastAsia="en-GB"/>
        </w:rPr>
        <w:t>(Rev.2)</w:t>
      </w:r>
    </w:p>
    <w:p w:rsidR="00471B41" w:rsidRDefault="00471B41" w:rsidP="003D421A">
      <w:pPr>
        <w:spacing w:line="360" w:lineRule="auto"/>
      </w:pPr>
      <w:r>
        <w:t xml:space="preserve"> 1.4 </w:t>
      </w:r>
      <w:proofErr w:type="spellStart"/>
      <w:r>
        <w:t>Sursa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: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bugetare</w:t>
      </w:r>
      <w:proofErr w:type="spellEnd"/>
    </w:p>
    <w:p w:rsidR="00471B41" w:rsidRDefault="00471B41" w:rsidP="00471B41">
      <w:pPr>
        <w:spacing w:line="360" w:lineRule="auto"/>
        <w:rPr>
          <w:b/>
        </w:rPr>
      </w:pPr>
      <w:r>
        <w:rPr>
          <w:b/>
        </w:rPr>
        <w:t xml:space="preserve"> II. OBIECTUL </w:t>
      </w:r>
      <w:proofErr w:type="gramStart"/>
      <w:r>
        <w:rPr>
          <w:b/>
        </w:rPr>
        <w:t>CONTRACTULUI</w:t>
      </w:r>
      <w: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</w:rPr>
        <w:t>Achizitie</w:t>
      </w:r>
      <w:proofErr w:type="spellEnd"/>
      <w:r>
        <w:rPr>
          <w:b/>
        </w:rPr>
        <w:t xml:space="preserve"> </w:t>
      </w:r>
      <w:r w:rsidR="00391CD7" w:rsidRPr="00391CD7">
        <w:rPr>
          <w:b/>
        </w:rPr>
        <w:t>FREZĂ ZĂPADĂ</w:t>
      </w:r>
    </w:p>
    <w:p w:rsidR="00471B41" w:rsidRDefault="00471B41" w:rsidP="00471B41">
      <w:pPr>
        <w:spacing w:line="360" w:lineRule="auto"/>
        <w:jc w:val="both"/>
      </w:pPr>
      <w:r>
        <w:rPr>
          <w:b/>
        </w:rPr>
        <w:t>III. CERINTE TEHNICE</w:t>
      </w:r>
      <w:r>
        <w:t xml:space="preserve">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</w:t>
      </w:r>
      <w:proofErr w:type="spellStart"/>
      <w:r>
        <w:t>obligatorii</w:t>
      </w:r>
      <w:proofErr w:type="spellEnd"/>
    </w:p>
    <w:p w:rsidR="007D2D5F" w:rsidRDefault="007D2D5F" w:rsidP="007D2D5F">
      <w:pPr>
        <w:shd w:val="clear" w:color="auto" w:fill="FFFFFF"/>
        <w:spacing w:before="300" w:after="150"/>
        <w:outlineLvl w:val="1"/>
        <w:rPr>
          <w:b/>
          <w:lang w:val="en-GB" w:eastAsia="en-GB"/>
        </w:rPr>
      </w:pPr>
    </w:p>
    <w:p w:rsidR="007D2D5F" w:rsidRPr="007D2D5F" w:rsidRDefault="007D2D5F" w:rsidP="007D2D5F">
      <w:pPr>
        <w:shd w:val="clear" w:color="auto" w:fill="FFFFFF"/>
        <w:spacing w:before="300" w:after="150"/>
        <w:outlineLvl w:val="1"/>
        <w:rPr>
          <w:b/>
          <w:lang w:val="en-GB" w:eastAsia="en-GB"/>
        </w:rPr>
      </w:pPr>
      <w:r w:rsidRPr="007D2D5F">
        <w:rPr>
          <w:b/>
          <w:lang w:val="en-GB" w:eastAsia="en-GB"/>
        </w:rPr>
        <w:t>SPECIFICATII</w:t>
      </w:r>
    </w:p>
    <w:p w:rsidR="007D2D5F" w:rsidRPr="007D2D5F" w:rsidRDefault="007D2D5F" w:rsidP="007D2D5F">
      <w:pPr>
        <w:shd w:val="clear" w:color="auto" w:fill="FFFFFF"/>
        <w:spacing w:after="150"/>
        <w:rPr>
          <w:caps/>
          <w:lang w:val="en-GB" w:eastAsia="en-GB"/>
        </w:rPr>
      </w:pPr>
      <w:r w:rsidRPr="007D2D5F">
        <w:rPr>
          <w:b/>
          <w:bCs/>
          <w:caps/>
          <w:lang w:val="en-GB" w:eastAsia="en-GB"/>
        </w:rPr>
        <w:t>CARACTERISTICI GENERALE</w:t>
      </w:r>
    </w:p>
    <w:tbl>
      <w:tblPr>
        <w:tblW w:w="18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2000"/>
      </w:tblGrid>
      <w:tr w:rsidR="00391CD7" w:rsidRPr="00391CD7" w:rsidTr="007D2D5F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Tip motor</w:t>
            </w:r>
          </w:p>
        </w:tc>
        <w:tc>
          <w:tcPr>
            <w:tcW w:w="12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Termic</w:t>
            </w:r>
            <w:proofErr w:type="spellEnd"/>
          </w:p>
        </w:tc>
      </w:tr>
      <w:tr w:rsidR="00391CD7" w:rsidRPr="00391CD7" w:rsidTr="007D2D5F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 xml:space="preserve">Tip </w:t>
            </w:r>
            <w:proofErr w:type="spellStart"/>
            <w:r w:rsidRPr="00391CD7">
              <w:rPr>
                <w:lang w:val="en-GB" w:eastAsia="en-GB"/>
              </w:rPr>
              <w:t>alimentare</w:t>
            </w:r>
            <w:proofErr w:type="spellEnd"/>
          </w:p>
        </w:tc>
        <w:tc>
          <w:tcPr>
            <w:tcW w:w="12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Benzina</w:t>
            </w:r>
            <w:proofErr w:type="spellEnd"/>
          </w:p>
        </w:tc>
      </w:tr>
      <w:tr w:rsidR="00391CD7" w:rsidRPr="00391CD7" w:rsidTr="007D2D5F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 xml:space="preserve">Tip </w:t>
            </w:r>
            <w:proofErr w:type="spellStart"/>
            <w:r w:rsidRPr="00391CD7">
              <w:rPr>
                <w:lang w:val="en-GB" w:eastAsia="en-GB"/>
              </w:rPr>
              <w:t>lucrare</w:t>
            </w:r>
            <w:proofErr w:type="spellEnd"/>
          </w:p>
        </w:tc>
        <w:tc>
          <w:tcPr>
            <w:tcW w:w="12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Semiprofesional</w:t>
            </w:r>
            <w:proofErr w:type="spellEnd"/>
          </w:p>
        </w:tc>
      </w:tr>
      <w:tr w:rsidR="00391CD7" w:rsidRPr="00391CD7" w:rsidTr="007D2D5F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Modalitate</w:t>
            </w:r>
            <w:proofErr w:type="spellEnd"/>
            <w:r w:rsidRPr="00391CD7">
              <w:rPr>
                <w:lang w:val="en-GB" w:eastAsia="en-GB"/>
              </w:rPr>
              <w:t xml:space="preserve"> </w:t>
            </w:r>
            <w:proofErr w:type="spellStart"/>
            <w:r w:rsidRPr="00391CD7">
              <w:rPr>
                <w:lang w:val="en-GB" w:eastAsia="en-GB"/>
              </w:rPr>
              <w:t>deplasare</w:t>
            </w:r>
            <w:proofErr w:type="spellEnd"/>
          </w:p>
        </w:tc>
        <w:tc>
          <w:tcPr>
            <w:tcW w:w="12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Roti</w:t>
            </w:r>
          </w:p>
        </w:tc>
      </w:tr>
      <w:tr w:rsidR="00391CD7" w:rsidRPr="00391CD7" w:rsidTr="007D2D5F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Material</w:t>
            </w:r>
          </w:p>
        </w:tc>
        <w:tc>
          <w:tcPr>
            <w:tcW w:w="12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Metal</w:t>
            </w:r>
          </w:p>
        </w:tc>
      </w:tr>
      <w:tr w:rsidR="00391CD7" w:rsidRPr="00391CD7" w:rsidTr="007D2D5F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Functii</w:t>
            </w:r>
            <w:proofErr w:type="spellEnd"/>
          </w:p>
        </w:tc>
        <w:tc>
          <w:tcPr>
            <w:tcW w:w="12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Incalzire</w:t>
            </w:r>
            <w:proofErr w:type="spellEnd"/>
            <w:r w:rsidRPr="00391CD7">
              <w:rPr>
                <w:lang w:val="en-GB" w:eastAsia="en-GB"/>
              </w:rPr>
              <w:t xml:space="preserve"> </w:t>
            </w:r>
            <w:proofErr w:type="spellStart"/>
            <w:r w:rsidRPr="00391CD7">
              <w:rPr>
                <w:lang w:val="en-GB" w:eastAsia="en-GB"/>
              </w:rPr>
              <w:t>manere</w:t>
            </w:r>
            <w:proofErr w:type="spellEnd"/>
          </w:p>
        </w:tc>
      </w:tr>
    </w:tbl>
    <w:p w:rsidR="007D2D5F" w:rsidRPr="00391CD7" w:rsidRDefault="007D2D5F" w:rsidP="00391CD7">
      <w:pPr>
        <w:pStyle w:val="NoSpacing"/>
        <w:rPr>
          <w:caps/>
          <w:lang w:val="en-GB" w:eastAsia="en-GB"/>
        </w:rPr>
      </w:pPr>
      <w:r w:rsidRPr="00391CD7">
        <w:rPr>
          <w:b/>
          <w:bCs/>
          <w:caps/>
          <w:lang w:val="en-GB" w:eastAsia="en-GB"/>
        </w:rPr>
        <w:t>CARACTERISTICI TEHNICE</w:t>
      </w:r>
    </w:p>
    <w:tbl>
      <w:tblPr>
        <w:tblW w:w="18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2000"/>
      </w:tblGrid>
      <w:tr w:rsidR="00391CD7" w:rsidRPr="00391CD7" w:rsidTr="007D2D5F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 xml:space="preserve">Capacitate </w:t>
            </w:r>
            <w:proofErr w:type="spellStart"/>
            <w:r w:rsidRPr="00391CD7">
              <w:rPr>
                <w:lang w:val="en-GB" w:eastAsia="en-GB"/>
              </w:rPr>
              <w:t>cilindrica</w:t>
            </w:r>
            <w:proofErr w:type="spellEnd"/>
          </w:p>
        </w:tc>
        <w:tc>
          <w:tcPr>
            <w:tcW w:w="12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208 cm³</w:t>
            </w:r>
          </w:p>
        </w:tc>
      </w:tr>
      <w:tr w:rsidR="00391CD7" w:rsidRPr="00391CD7" w:rsidTr="007D2D5F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Putere</w:t>
            </w:r>
            <w:proofErr w:type="spellEnd"/>
            <w:r w:rsidRPr="00391CD7">
              <w:rPr>
                <w:lang w:val="en-GB" w:eastAsia="en-GB"/>
              </w:rPr>
              <w:t xml:space="preserve"> motor</w:t>
            </w:r>
          </w:p>
        </w:tc>
        <w:tc>
          <w:tcPr>
            <w:tcW w:w="12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 xml:space="preserve">6.3 </w:t>
            </w:r>
            <w:proofErr w:type="spellStart"/>
            <w:r w:rsidRPr="00391CD7">
              <w:rPr>
                <w:lang w:val="en-GB" w:eastAsia="en-GB"/>
              </w:rPr>
              <w:t>cp</w:t>
            </w:r>
            <w:proofErr w:type="spellEnd"/>
          </w:p>
        </w:tc>
      </w:tr>
      <w:tr w:rsidR="00391CD7" w:rsidRPr="00391CD7" w:rsidTr="007D2D5F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Putere</w:t>
            </w:r>
            <w:proofErr w:type="spellEnd"/>
          </w:p>
        </w:tc>
        <w:tc>
          <w:tcPr>
            <w:tcW w:w="12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4.7 kW</w:t>
            </w:r>
          </w:p>
        </w:tc>
      </w:tr>
      <w:tr w:rsidR="00391CD7" w:rsidRPr="00391CD7" w:rsidTr="007D2D5F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Nivel</w:t>
            </w:r>
            <w:proofErr w:type="spellEnd"/>
            <w:r w:rsidRPr="00391CD7">
              <w:rPr>
                <w:lang w:val="en-GB" w:eastAsia="en-GB"/>
              </w:rPr>
              <w:t xml:space="preserve"> </w:t>
            </w:r>
            <w:proofErr w:type="spellStart"/>
            <w:r w:rsidRPr="00391CD7">
              <w:rPr>
                <w:lang w:val="en-GB" w:eastAsia="en-GB"/>
              </w:rPr>
              <w:t>zgomot</w:t>
            </w:r>
            <w:proofErr w:type="spellEnd"/>
          </w:p>
        </w:tc>
        <w:tc>
          <w:tcPr>
            <w:tcW w:w="12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105 dB</w:t>
            </w:r>
          </w:p>
        </w:tc>
      </w:tr>
      <w:tr w:rsidR="00391CD7" w:rsidRPr="00391CD7" w:rsidTr="007D2D5F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 xml:space="preserve">Capacitate </w:t>
            </w:r>
            <w:proofErr w:type="spellStart"/>
            <w:r w:rsidRPr="00391CD7">
              <w:rPr>
                <w:lang w:val="en-GB" w:eastAsia="en-GB"/>
              </w:rPr>
              <w:t>rezervor</w:t>
            </w:r>
            <w:proofErr w:type="spellEnd"/>
          </w:p>
        </w:tc>
        <w:tc>
          <w:tcPr>
            <w:tcW w:w="12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2.6 l</w:t>
            </w:r>
          </w:p>
        </w:tc>
      </w:tr>
    </w:tbl>
    <w:p w:rsidR="007D2D5F" w:rsidRPr="00391CD7" w:rsidRDefault="007D2D5F" w:rsidP="00391CD7">
      <w:pPr>
        <w:pStyle w:val="NoSpacing"/>
        <w:rPr>
          <w:caps/>
          <w:lang w:val="en-GB" w:eastAsia="en-GB"/>
        </w:rPr>
      </w:pPr>
      <w:r w:rsidRPr="00391CD7">
        <w:rPr>
          <w:b/>
          <w:bCs/>
          <w:caps/>
          <w:lang w:val="en-GB" w:eastAsia="en-GB"/>
        </w:rPr>
        <w:t>PERFORMANTE</w:t>
      </w:r>
    </w:p>
    <w:tbl>
      <w:tblPr>
        <w:tblW w:w="18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2000"/>
      </w:tblGrid>
      <w:tr w:rsidR="00391CD7" w:rsidRPr="00391CD7" w:rsidTr="007D2D5F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Latime</w:t>
            </w:r>
            <w:proofErr w:type="spellEnd"/>
            <w:r w:rsidRPr="00391CD7">
              <w:rPr>
                <w:lang w:val="en-GB" w:eastAsia="en-GB"/>
              </w:rPr>
              <w:t xml:space="preserve"> de </w:t>
            </w:r>
            <w:proofErr w:type="spellStart"/>
            <w:r w:rsidRPr="00391CD7">
              <w:rPr>
                <w:lang w:val="en-GB" w:eastAsia="en-GB"/>
              </w:rPr>
              <w:t>lucru</w:t>
            </w:r>
            <w:proofErr w:type="spellEnd"/>
          </w:p>
        </w:tc>
        <w:tc>
          <w:tcPr>
            <w:tcW w:w="12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61 cm</w:t>
            </w:r>
          </w:p>
        </w:tc>
      </w:tr>
      <w:tr w:rsidR="00391CD7" w:rsidRPr="00391CD7" w:rsidTr="007D2D5F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Inaltime</w:t>
            </w:r>
            <w:proofErr w:type="spellEnd"/>
            <w:r w:rsidRPr="00391CD7">
              <w:rPr>
                <w:lang w:val="en-GB" w:eastAsia="en-GB"/>
              </w:rPr>
              <w:t xml:space="preserve"> de </w:t>
            </w:r>
            <w:proofErr w:type="spellStart"/>
            <w:r w:rsidRPr="00391CD7">
              <w:rPr>
                <w:lang w:val="en-GB" w:eastAsia="en-GB"/>
              </w:rPr>
              <w:t>lucru</w:t>
            </w:r>
            <w:proofErr w:type="spellEnd"/>
          </w:p>
        </w:tc>
        <w:tc>
          <w:tcPr>
            <w:tcW w:w="12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30 cm</w:t>
            </w:r>
          </w:p>
        </w:tc>
      </w:tr>
      <w:tr w:rsidR="00391CD7" w:rsidRPr="00391CD7" w:rsidTr="007D2D5F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Distanta</w:t>
            </w:r>
            <w:proofErr w:type="spellEnd"/>
            <w:r w:rsidRPr="00391CD7">
              <w:rPr>
                <w:lang w:val="en-GB" w:eastAsia="en-GB"/>
              </w:rPr>
              <w:t xml:space="preserve"> de </w:t>
            </w:r>
            <w:proofErr w:type="spellStart"/>
            <w:r w:rsidRPr="00391CD7">
              <w:rPr>
                <w:lang w:val="en-GB" w:eastAsia="en-GB"/>
              </w:rPr>
              <w:t>aruncare</w:t>
            </w:r>
            <w:proofErr w:type="spellEnd"/>
          </w:p>
        </w:tc>
        <w:tc>
          <w:tcPr>
            <w:tcW w:w="12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1 m</w:t>
            </w:r>
          </w:p>
        </w:tc>
      </w:tr>
    </w:tbl>
    <w:p w:rsidR="007D2D5F" w:rsidRPr="00391CD7" w:rsidRDefault="007D2D5F" w:rsidP="00391CD7">
      <w:pPr>
        <w:pStyle w:val="NoSpacing"/>
        <w:rPr>
          <w:caps/>
          <w:lang w:val="en-GB" w:eastAsia="en-GB"/>
        </w:rPr>
      </w:pPr>
      <w:r w:rsidRPr="00391CD7">
        <w:rPr>
          <w:b/>
          <w:bCs/>
          <w:caps/>
          <w:lang w:val="en-GB" w:eastAsia="en-GB"/>
        </w:rPr>
        <w:t>DIMENSIUNI</w:t>
      </w:r>
    </w:p>
    <w:tbl>
      <w:tblPr>
        <w:tblW w:w="18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2000"/>
      </w:tblGrid>
      <w:tr w:rsidR="00391CD7" w:rsidRPr="00391CD7" w:rsidTr="007D2D5F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proofErr w:type="spellStart"/>
            <w:r w:rsidRPr="00391CD7">
              <w:rPr>
                <w:lang w:val="en-GB" w:eastAsia="en-GB"/>
              </w:rPr>
              <w:t>Greutate</w:t>
            </w:r>
            <w:proofErr w:type="spellEnd"/>
          </w:p>
        </w:tc>
        <w:tc>
          <w:tcPr>
            <w:tcW w:w="12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2D5F" w:rsidRPr="00391CD7" w:rsidRDefault="007D2D5F" w:rsidP="00391CD7">
            <w:pPr>
              <w:pStyle w:val="NoSpacing"/>
              <w:rPr>
                <w:lang w:val="en-GB" w:eastAsia="en-GB"/>
              </w:rPr>
            </w:pPr>
            <w:r w:rsidRPr="00391CD7">
              <w:rPr>
                <w:lang w:val="en-GB" w:eastAsia="en-GB"/>
              </w:rPr>
              <w:t>90.08 Kg</w:t>
            </w:r>
          </w:p>
        </w:tc>
      </w:tr>
    </w:tbl>
    <w:p w:rsidR="007D2D5F" w:rsidRDefault="007D2D5F" w:rsidP="00E46B97">
      <w:pPr>
        <w:spacing w:line="360" w:lineRule="auto"/>
        <w:ind w:firstLine="720"/>
      </w:pPr>
    </w:p>
    <w:p w:rsidR="00471B41" w:rsidRDefault="00471B41" w:rsidP="00E46B97">
      <w:pPr>
        <w:spacing w:line="360" w:lineRule="auto"/>
        <w:ind w:firstLine="720"/>
      </w:pPr>
      <w:proofErr w:type="spellStart"/>
      <w:r>
        <w:t>Dacă</w:t>
      </w:r>
      <w:proofErr w:type="spellEnd"/>
      <w:r>
        <w:t xml:space="preserve">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livrat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conform cu </w:t>
      </w:r>
      <w:proofErr w:type="spellStart"/>
      <w:r>
        <w:t>specificaţiile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refuze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furnizorul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înlocuiască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satisface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specificaţiilor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contract,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percepe</w:t>
      </w:r>
      <w:proofErr w:type="spellEnd"/>
      <w:r>
        <w:t xml:space="preserve"> un cost </w:t>
      </w:r>
      <w:proofErr w:type="spellStart"/>
      <w:r>
        <w:t>suplimentar</w:t>
      </w:r>
      <w:proofErr w:type="spellEnd"/>
      <w:r>
        <w:t>.</w:t>
      </w:r>
    </w:p>
    <w:p w:rsidR="00471B41" w:rsidRDefault="00471B41" w:rsidP="00471B41">
      <w:pPr>
        <w:spacing w:line="360" w:lineRule="auto"/>
        <w:ind w:firstLine="720"/>
        <w:jc w:val="both"/>
      </w:pPr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cantitate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furnizată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facturată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. La </w:t>
      </w:r>
      <w:proofErr w:type="spellStart"/>
      <w:r>
        <w:t>livrare</w:t>
      </w:r>
      <w:proofErr w:type="spellEnd"/>
      <w:r>
        <w:t xml:space="preserve">, </w:t>
      </w:r>
      <w:proofErr w:type="spellStart"/>
      <w:r>
        <w:t>echipamentele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factura</w:t>
      </w:r>
      <w:proofErr w:type="spellEnd"/>
      <w:r>
        <w:t xml:space="preserve">, </w:t>
      </w:r>
      <w:proofErr w:type="spellStart"/>
      <w:r>
        <w:t>declaraţii</w:t>
      </w:r>
      <w:proofErr w:type="spellEnd"/>
      <w:r>
        <w:t>/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conformitate</w:t>
      </w:r>
      <w:proofErr w:type="spellEnd"/>
      <w:r>
        <w:t xml:space="preserve">,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>/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, </w:t>
      </w:r>
      <w:proofErr w:type="spellStart"/>
      <w:r>
        <w:t>carnete</w:t>
      </w:r>
      <w:proofErr w:type="spellEnd"/>
      <w:r>
        <w:t xml:space="preserve"> service, </w:t>
      </w:r>
      <w:proofErr w:type="spellStart"/>
      <w:r>
        <w:t>proces</w:t>
      </w:r>
      <w:proofErr w:type="spellEnd"/>
      <w:r>
        <w:t xml:space="preserve"> verbal de </w:t>
      </w:r>
      <w:proofErr w:type="spellStart"/>
      <w:r>
        <w:t>receptie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functiune</w:t>
      </w:r>
      <w:proofErr w:type="spellEnd"/>
      <w:r>
        <w:t xml:space="preserve"> etc.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lastRenderedPageBreak/>
        <w:t>Produsele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recepţionate</w:t>
      </w:r>
      <w:proofErr w:type="spellEnd"/>
      <w:r>
        <w:t xml:space="preserve"> de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recepţiei</w:t>
      </w:r>
      <w:proofErr w:type="spellEnd"/>
      <w:r>
        <w:t xml:space="preserve"> </w:t>
      </w:r>
      <w:proofErr w:type="spellStart"/>
      <w:r>
        <w:t>cantitative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calitative</w:t>
      </w:r>
      <w:proofErr w:type="spellEnd"/>
      <w:r>
        <w:t xml:space="preserve">, </w:t>
      </w:r>
      <w:proofErr w:type="spellStart"/>
      <w:r>
        <w:t>achizitorul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inspecta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cu </w:t>
      </w:r>
      <w:proofErr w:type="spellStart"/>
      <w:r>
        <w:t>specificaţiile</w:t>
      </w:r>
      <w:proofErr w:type="spellEnd"/>
      <w:r>
        <w:t xml:space="preserve"> din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ofertă</w:t>
      </w:r>
      <w:proofErr w:type="spellEnd"/>
      <w:r>
        <w:t xml:space="preserve">.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cantitativă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livrării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,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cantităţii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.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calitativă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inspecţia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testarea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materializează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proces</w:t>
      </w:r>
      <w:proofErr w:type="spellEnd"/>
      <w:r>
        <w:t xml:space="preserve">-verbal de </w:t>
      </w:r>
      <w:proofErr w:type="spellStart"/>
      <w:r>
        <w:t>recepţie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functiune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Livrarea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incheiata</w:t>
      </w:r>
      <w:proofErr w:type="spellEnd"/>
      <w:r>
        <w:t xml:space="preserve"> in </w:t>
      </w:r>
      <w:proofErr w:type="spellStart"/>
      <w:r>
        <w:t>momentul</w:t>
      </w:r>
      <w:proofErr w:type="spellEnd"/>
      <w:r>
        <w:t xml:space="preserve"> in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clauzelor</w:t>
      </w:r>
      <w:proofErr w:type="spellEnd"/>
      <w:r>
        <w:t xml:space="preserve"> de </w:t>
      </w:r>
      <w:proofErr w:type="spellStart"/>
      <w:r>
        <w:t>receptie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performanta</w:t>
      </w:r>
      <w:proofErr w:type="spellEnd"/>
      <w:r>
        <w:t xml:space="preserve"> </w:t>
      </w:r>
      <w:proofErr w:type="spellStart"/>
      <w:r>
        <w:t>ofertat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a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verbal.</w:t>
      </w:r>
    </w:p>
    <w:p w:rsidR="00471B41" w:rsidRDefault="00471B41" w:rsidP="00471B41">
      <w:pPr>
        <w:spacing w:line="360" w:lineRule="auto"/>
        <w:ind w:firstLine="720"/>
        <w:jc w:val="both"/>
      </w:pPr>
      <w:r>
        <w:t xml:space="preserve"> Plata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realize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verbal </w:t>
      </w:r>
      <w:proofErr w:type="spellStart"/>
      <w:r>
        <w:t>asumat</w:t>
      </w:r>
      <w:proofErr w:type="spellEnd"/>
      <w:r>
        <w:t xml:space="preserve"> de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cu </w:t>
      </w:r>
      <w:proofErr w:type="spellStart"/>
      <w:r>
        <w:t>evidentierea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definite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.</w:t>
      </w:r>
    </w:p>
    <w:p w:rsidR="00471B41" w:rsidRDefault="00471B41" w:rsidP="00471B41">
      <w:pPr>
        <w:spacing w:line="360" w:lineRule="auto"/>
        <w:ind w:firstLine="720"/>
        <w:jc w:val="both"/>
      </w:pPr>
      <w:r>
        <w:t xml:space="preserve"> </w:t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garantie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3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conform </w:t>
      </w:r>
      <w:proofErr w:type="spellStart"/>
      <w:r>
        <w:t>specificatiilor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.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, </w:t>
      </w:r>
      <w:proofErr w:type="spellStart"/>
      <w:r>
        <w:t>înlocuite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beneficia</w:t>
      </w:r>
      <w:proofErr w:type="spellEnd"/>
      <w:r>
        <w:t xml:space="preserve"> de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care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curge</w:t>
      </w:r>
      <w:proofErr w:type="spellEnd"/>
      <w:r>
        <w:t xml:space="preserve"> de la data </w:t>
      </w:r>
      <w:proofErr w:type="spellStart"/>
      <w:r>
        <w:t>înlocuirii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defect. </w:t>
      </w:r>
      <w:proofErr w:type="spellStart"/>
      <w:r>
        <w:t>Furnizorul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sigure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>. Service-</w:t>
      </w:r>
      <w:proofErr w:type="spellStart"/>
      <w:r>
        <w:t>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suportul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efectuat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personal </w:t>
      </w:r>
      <w:proofErr w:type="spellStart"/>
      <w:r>
        <w:t>abilitat</w:t>
      </w:r>
      <w:proofErr w:type="spellEnd"/>
      <w:r>
        <w:t>/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actioneze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rPr>
          <w:b/>
        </w:rPr>
        <w:t>Propunerea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tehnică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corespondentei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cu </w:t>
      </w:r>
      <w:proofErr w:type="spellStart"/>
      <w:r>
        <w:t>specificatiile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. </w:t>
      </w:r>
      <w:proofErr w:type="spellStart"/>
      <w:r>
        <w:t>Caracteristicile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. </w:t>
      </w:r>
    </w:p>
    <w:p w:rsidR="00A525DF" w:rsidRDefault="00A525DF" w:rsidP="00471B41"/>
    <w:p w:rsidR="003D421A" w:rsidRDefault="003D421A" w:rsidP="00471B41"/>
    <w:p w:rsidR="003D421A" w:rsidRDefault="003D421A" w:rsidP="00471B41"/>
    <w:p w:rsidR="003D421A" w:rsidRDefault="003D421A" w:rsidP="00471B41">
      <w:r>
        <w:tab/>
      </w:r>
      <w:r>
        <w:tab/>
      </w:r>
      <w:r>
        <w:tab/>
      </w:r>
      <w:r>
        <w:tab/>
      </w:r>
      <w:r>
        <w:tab/>
      </w:r>
    </w:p>
    <w:p w:rsidR="003D421A" w:rsidRDefault="003D421A" w:rsidP="00471B41"/>
    <w:p w:rsidR="003D421A" w:rsidRDefault="003D421A" w:rsidP="00471B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Administrator,</w:t>
      </w:r>
    </w:p>
    <w:p w:rsidR="003D421A" w:rsidRPr="00471B41" w:rsidRDefault="003D421A" w:rsidP="003D421A">
      <w:pPr>
        <w:ind w:left="4320" w:firstLine="720"/>
      </w:pPr>
      <w:r>
        <w:t xml:space="preserve"> Iliescu </w:t>
      </w:r>
      <w:proofErr w:type="spellStart"/>
      <w:r>
        <w:t>Mihaela</w:t>
      </w:r>
      <w:proofErr w:type="spellEnd"/>
    </w:p>
    <w:sectPr w:rsidR="003D421A" w:rsidRPr="0047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298"/>
    <w:multiLevelType w:val="multilevel"/>
    <w:tmpl w:val="F8A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726F8"/>
    <w:multiLevelType w:val="multilevel"/>
    <w:tmpl w:val="3DE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F"/>
    <w:rsid w:val="00027534"/>
    <w:rsid w:val="00391CD7"/>
    <w:rsid w:val="003D421A"/>
    <w:rsid w:val="00454E0E"/>
    <w:rsid w:val="00471B41"/>
    <w:rsid w:val="006C10C8"/>
    <w:rsid w:val="007D2D5F"/>
    <w:rsid w:val="00A525DF"/>
    <w:rsid w:val="00D41BDA"/>
    <w:rsid w:val="00DE5C35"/>
    <w:rsid w:val="00E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D36A5-CFF2-4501-8F90-B4C80A95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525DF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A525D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A5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1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E46B97"/>
    <w:rPr>
      <w:b/>
      <w:bCs/>
    </w:rPr>
  </w:style>
  <w:style w:type="character" w:customStyle="1" w:styleId="graytext">
    <w:name w:val="gray_text"/>
    <w:basedOn w:val="DefaultParagraphFont"/>
    <w:rsid w:val="00E46B97"/>
  </w:style>
  <w:style w:type="character" w:customStyle="1" w:styleId="Heading1Char">
    <w:name w:val="Heading 1 Char"/>
    <w:basedOn w:val="DefaultParagraphFont"/>
    <w:link w:val="Heading1"/>
    <w:uiPriority w:val="9"/>
    <w:rsid w:val="000275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C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3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23coduri.ro/cauta-in-baza-de-date-coduri-cpv.php?vcodg1=43&amp;vcodg2=433&amp;vcodg3=4331&amp;vcodg4=43313&amp;vcodcpv=433131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23coduri.ro/cauta-in-baza-de-date-coduri-cpv.php?vcodg1=43&amp;vcodg2=433&amp;vcodg3=4331&amp;vcodg4=43313&amp;vcodcpv=43313100-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6</cp:revision>
  <dcterms:created xsi:type="dcterms:W3CDTF">2018-05-07T05:28:00Z</dcterms:created>
  <dcterms:modified xsi:type="dcterms:W3CDTF">2018-05-07T06:04:00Z</dcterms:modified>
</cp:coreProperties>
</file>